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33" w:rsidRDefault="000F4733" w:rsidP="000F4733">
      <w:pPr>
        <w:pStyle w:val="Heading1"/>
        <w:shd w:val="clear" w:color="auto" w:fill="F9F9F9"/>
        <w:spacing w:before="0" w:beforeAutospacing="0" w:after="167" w:afterAutospacing="0" w:line="342" w:lineRule="atLeast"/>
        <w:jc w:val="center"/>
        <w:textAlignment w:val="baseline"/>
        <w:rPr>
          <w:rFonts w:ascii="Trebuchet MS" w:hAnsi="Trebuchet MS"/>
          <w:color w:val="2F2F2F"/>
          <w:sz w:val="34"/>
          <w:szCs w:val="34"/>
        </w:rPr>
      </w:pPr>
      <w:r w:rsidRPr="000F4733">
        <w:rPr>
          <w:rFonts w:ascii="Trebuchet MS" w:hAnsi="Trebuchet MS"/>
          <w:color w:val="2F2F2F"/>
          <w:sz w:val="34"/>
          <w:szCs w:val="34"/>
        </w:rPr>
        <w:t xml:space="preserve">The difference between a </w:t>
      </w:r>
      <w:proofErr w:type="spellStart"/>
      <w:r w:rsidRPr="000F4733">
        <w:rPr>
          <w:rFonts w:ascii="Trebuchet MS" w:hAnsi="Trebuchet MS"/>
          <w:color w:val="2F2F2F"/>
          <w:sz w:val="34"/>
          <w:szCs w:val="34"/>
        </w:rPr>
        <w:t>mushrik</w:t>
      </w:r>
      <w:proofErr w:type="spellEnd"/>
      <w:r w:rsidRPr="000F4733">
        <w:rPr>
          <w:rFonts w:ascii="Trebuchet MS" w:hAnsi="Trebuchet MS"/>
          <w:color w:val="2F2F2F"/>
          <w:sz w:val="34"/>
          <w:szCs w:val="34"/>
        </w:rPr>
        <w:t xml:space="preserve"> and a </w:t>
      </w:r>
      <w:proofErr w:type="spellStart"/>
      <w:r w:rsidRPr="000F4733">
        <w:rPr>
          <w:rFonts w:ascii="Trebuchet MS" w:hAnsi="Trebuchet MS"/>
          <w:color w:val="2F2F2F"/>
          <w:sz w:val="34"/>
          <w:szCs w:val="34"/>
        </w:rPr>
        <w:t>kaafir</w:t>
      </w:r>
      <w:proofErr w:type="spellEnd"/>
    </w:p>
    <w:p w:rsidR="000F4733" w:rsidRDefault="000F4733" w:rsidP="000F4733">
      <w:pPr>
        <w:pStyle w:val="Heading1"/>
        <w:shd w:val="clear" w:color="auto" w:fill="F9F9F9"/>
        <w:spacing w:before="0" w:beforeAutospacing="0" w:after="167" w:afterAutospacing="0" w:line="342" w:lineRule="atLeast"/>
        <w:jc w:val="center"/>
        <w:textAlignment w:val="baseline"/>
        <w:rPr>
          <w:rFonts w:ascii="Trebuchet MS" w:hAnsi="Trebuchet MS"/>
          <w:color w:val="2F2F2F"/>
          <w:sz w:val="34"/>
          <w:szCs w:val="34"/>
        </w:rPr>
      </w:pPr>
    </w:p>
    <w:p w:rsidR="000F4733" w:rsidRDefault="000F4733" w:rsidP="000F473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gramStart"/>
      <w:r>
        <w:rPr>
          <w:rFonts w:ascii="Tahoma" w:hAnsi="Tahoma" w:cs="Tahoma"/>
          <w:color w:val="444444"/>
          <w:bdr w:val="none" w:sz="0" w:space="0" w:color="auto" w:frame="1"/>
        </w:rPr>
        <w:t>source</w:t>
      </w:r>
      <w:proofErr w:type="gram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silsilat</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ul-hudā</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wa</w:t>
      </w:r>
      <w:proofErr w:type="spellEnd"/>
      <w:r>
        <w:rPr>
          <w:rFonts w:ascii="Tahoma" w:hAnsi="Tahoma" w:cs="Tahoma"/>
          <w:color w:val="444444"/>
          <w:bdr w:val="none" w:sz="0" w:space="0" w:color="auto" w:frame="1"/>
        </w:rPr>
        <w:t xml:space="preserve"> </w:t>
      </w:r>
      <w:proofErr w:type="spellStart"/>
      <w:r>
        <w:rPr>
          <w:rFonts w:ascii="Tahoma" w:hAnsi="Tahoma" w:cs="Tahoma"/>
          <w:color w:val="444444"/>
          <w:bdr w:val="none" w:sz="0" w:space="0" w:color="auto" w:frame="1"/>
        </w:rPr>
        <w:t>nnūr</w:t>
      </w:r>
      <w:proofErr w:type="spellEnd"/>
      <w:r>
        <w:rPr>
          <w:rFonts w:ascii="Tahoma" w:hAnsi="Tahoma" w:cs="Tahoma"/>
          <w:color w:val="444444"/>
          <w:bdr w:val="none" w:sz="0" w:space="0" w:color="auto" w:frame="1"/>
        </w:rPr>
        <w:t xml:space="preserve"> ~ the series of guidance and light ~ tape no. 727</w:t>
      </w:r>
    </w:p>
    <w:p w:rsidR="000F4733" w:rsidRDefault="000F4733" w:rsidP="000F473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Question #7: “Is every </w:t>
      </w:r>
      <w:proofErr w:type="spellStart"/>
      <w:r>
        <w:rPr>
          <w:rFonts w:ascii="Arial" w:hAnsi="Arial" w:cs="Arial"/>
          <w:color w:val="444444"/>
          <w:sz w:val="30"/>
          <w:szCs w:val="30"/>
        </w:rPr>
        <w:t>mushrik</w:t>
      </w:r>
      <w:proofErr w:type="spellEnd"/>
      <w:r>
        <w:rPr>
          <w:rFonts w:ascii="Arial" w:hAnsi="Arial" w:cs="Arial"/>
          <w:color w:val="444444"/>
          <w:sz w:val="30"/>
          <w:szCs w:val="30"/>
        </w:rPr>
        <w:t xml:space="preserve"> (one who associates partners with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a </w:t>
      </w:r>
      <w:proofErr w:type="spellStart"/>
      <w:r>
        <w:rPr>
          <w:rFonts w:ascii="Arial" w:hAnsi="Arial" w:cs="Arial"/>
          <w:color w:val="444444"/>
          <w:sz w:val="30"/>
          <w:szCs w:val="30"/>
        </w:rPr>
        <w:t>kāfir</w:t>
      </w:r>
      <w:proofErr w:type="spellEnd"/>
      <w:r>
        <w:rPr>
          <w:rFonts w:ascii="Arial" w:hAnsi="Arial" w:cs="Arial"/>
          <w:color w:val="444444"/>
          <w:sz w:val="30"/>
          <w:szCs w:val="30"/>
        </w:rPr>
        <w:t xml:space="preserve"> (disbeliever), but not every </w:t>
      </w:r>
      <w:proofErr w:type="spellStart"/>
      <w:r>
        <w:rPr>
          <w:rFonts w:ascii="Arial" w:hAnsi="Arial" w:cs="Arial"/>
          <w:color w:val="444444"/>
          <w:sz w:val="30"/>
          <w:szCs w:val="30"/>
        </w:rPr>
        <w:t>kāfir</w:t>
      </w:r>
      <w:proofErr w:type="spellEnd"/>
      <w:r>
        <w:rPr>
          <w:rFonts w:ascii="Arial" w:hAnsi="Arial" w:cs="Arial"/>
          <w:color w:val="444444"/>
          <w:sz w:val="30"/>
          <w:szCs w:val="30"/>
        </w:rPr>
        <w:t xml:space="preserve"> is a </w:t>
      </w:r>
      <w:proofErr w:type="spellStart"/>
      <w:r>
        <w:rPr>
          <w:rFonts w:ascii="Arial" w:hAnsi="Arial" w:cs="Arial"/>
          <w:color w:val="444444"/>
          <w:sz w:val="30"/>
          <w:szCs w:val="30"/>
        </w:rPr>
        <w:t>mushrik</w:t>
      </w:r>
      <w:proofErr w:type="spellEnd"/>
      <w:r>
        <w:rPr>
          <w:rFonts w:ascii="Arial" w:hAnsi="Arial" w:cs="Arial"/>
          <w:color w:val="444444"/>
          <w:sz w:val="30"/>
          <w:szCs w:val="30"/>
        </w:rPr>
        <w:t>? Or are they the same?”</w:t>
      </w:r>
      <w:r>
        <w:rPr>
          <w:rFonts w:ascii="Arial" w:hAnsi="Arial" w:cs="Arial"/>
          <w:color w:val="444444"/>
          <w:sz w:val="30"/>
          <w:szCs w:val="30"/>
        </w:rPr>
        <w:br/>
      </w:r>
      <w:proofErr w:type="spellStart"/>
      <w:r>
        <w:rPr>
          <w:rFonts w:ascii="Arial" w:hAnsi="Arial" w:cs="Arial"/>
          <w:color w:val="444444"/>
          <w:sz w:val="30"/>
          <w:szCs w:val="30"/>
        </w:rPr>
        <w:t>Shaykh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Albāni</w:t>
      </w:r>
      <w:proofErr w:type="spellEnd"/>
      <w:r>
        <w:rPr>
          <w:rFonts w:ascii="Arial" w:hAnsi="Arial" w:cs="Arial"/>
          <w:color w:val="444444"/>
          <w:sz w:val="30"/>
          <w:szCs w:val="30"/>
        </w:rPr>
        <w:t xml:space="preserve"> answers</w:t>
      </w:r>
      <w:proofErr w:type="gramStart"/>
      <w:r>
        <w:rPr>
          <w:rFonts w:ascii="Arial" w:hAnsi="Arial" w:cs="Arial"/>
          <w:color w:val="444444"/>
          <w:sz w:val="30"/>
          <w:szCs w:val="30"/>
        </w:rPr>
        <w:t>:</w:t>
      </w:r>
      <w:proofErr w:type="gramEnd"/>
      <w:r>
        <w:rPr>
          <w:rFonts w:ascii="Arial" w:hAnsi="Arial" w:cs="Arial"/>
          <w:color w:val="444444"/>
          <w:sz w:val="30"/>
          <w:szCs w:val="30"/>
        </w:rPr>
        <w:br/>
        <w:t xml:space="preserve">“This is the established understanding in people’s minds, except few of them. I will explain that with an example: a man bears witness that none has the right to be worshiped but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and that Muhammad (</w:t>
      </w:r>
      <w:r>
        <w:rPr>
          <w:rFonts w:ascii="Arial" w:hAnsi="Arial" w:cs="Arial"/>
          <w:color w:val="444444"/>
          <w:sz w:val="30"/>
          <w:szCs w:val="30"/>
          <w:rtl/>
        </w:rPr>
        <w:t>صلى الله عليه وسلم</w:t>
      </w:r>
      <w:r>
        <w:rPr>
          <w:rFonts w:ascii="Arial" w:hAnsi="Arial" w:cs="Arial"/>
          <w:color w:val="444444"/>
          <w:sz w:val="30"/>
          <w:szCs w:val="30"/>
        </w:rPr>
        <w:t xml:space="preserve">) is the Messenger of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and he prays, fasts and so on, but he rejects </w:t>
      </w:r>
      <w:proofErr w:type="gramStart"/>
      <w:r>
        <w:rPr>
          <w:rFonts w:ascii="Arial" w:hAnsi="Arial" w:cs="Arial"/>
          <w:color w:val="444444"/>
          <w:sz w:val="30"/>
          <w:szCs w:val="30"/>
        </w:rPr>
        <w:t>an</w:t>
      </w:r>
      <w:proofErr w:type="gramEnd"/>
      <w:r>
        <w:rPr>
          <w:rFonts w:ascii="Arial" w:hAnsi="Arial" w:cs="Arial"/>
          <w:color w:val="444444"/>
          <w:sz w:val="30"/>
          <w:szCs w:val="30"/>
        </w:rPr>
        <w:t xml:space="preserve"> </w:t>
      </w:r>
      <w:proofErr w:type="spellStart"/>
      <w:r>
        <w:rPr>
          <w:rFonts w:ascii="Arial" w:hAnsi="Arial" w:cs="Arial"/>
          <w:color w:val="444444"/>
          <w:sz w:val="30"/>
          <w:szCs w:val="30"/>
        </w:rPr>
        <w:t>āyah</w:t>
      </w:r>
      <w:proofErr w:type="spellEnd"/>
      <w:r>
        <w:rPr>
          <w:rFonts w:ascii="Arial" w:hAnsi="Arial" w:cs="Arial"/>
          <w:color w:val="444444"/>
          <w:sz w:val="30"/>
          <w:szCs w:val="30"/>
        </w:rPr>
        <w:t xml:space="preserve"> from the </w:t>
      </w:r>
      <w:proofErr w:type="spellStart"/>
      <w:r>
        <w:rPr>
          <w:rFonts w:ascii="Arial" w:hAnsi="Arial" w:cs="Arial"/>
          <w:color w:val="444444"/>
          <w:sz w:val="30"/>
          <w:szCs w:val="30"/>
        </w:rPr>
        <w:t>Qur’ān</w:t>
      </w:r>
      <w:proofErr w:type="spellEnd"/>
      <w:r>
        <w:rPr>
          <w:rFonts w:ascii="Arial" w:hAnsi="Arial" w:cs="Arial"/>
          <w:color w:val="444444"/>
          <w:sz w:val="30"/>
          <w:szCs w:val="30"/>
        </w:rPr>
        <w:t xml:space="preserve">. This (man) has disbelieved or not disbelieved? He has disbelieved. Has he associated partners with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That which is correct is that he has associated partners with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Every </w:t>
      </w:r>
      <w:proofErr w:type="spellStart"/>
      <w:r>
        <w:rPr>
          <w:rFonts w:ascii="Arial" w:hAnsi="Arial" w:cs="Arial"/>
          <w:color w:val="444444"/>
          <w:sz w:val="30"/>
          <w:szCs w:val="30"/>
        </w:rPr>
        <w:t>kāfir</w:t>
      </w:r>
      <w:proofErr w:type="spellEnd"/>
      <w:r>
        <w:rPr>
          <w:rFonts w:ascii="Arial" w:hAnsi="Arial" w:cs="Arial"/>
          <w:color w:val="444444"/>
          <w:sz w:val="30"/>
          <w:szCs w:val="30"/>
        </w:rPr>
        <w:t xml:space="preserve"> is a </w:t>
      </w:r>
      <w:proofErr w:type="spellStart"/>
      <w:r>
        <w:rPr>
          <w:rFonts w:ascii="Arial" w:hAnsi="Arial" w:cs="Arial"/>
          <w:color w:val="444444"/>
          <w:sz w:val="30"/>
          <w:szCs w:val="30"/>
        </w:rPr>
        <w:t>mushrik</w:t>
      </w:r>
      <w:proofErr w:type="spellEnd"/>
      <w:r>
        <w:rPr>
          <w:rFonts w:ascii="Arial" w:hAnsi="Arial" w:cs="Arial"/>
          <w:color w:val="444444"/>
          <w:sz w:val="30"/>
          <w:szCs w:val="30"/>
        </w:rPr>
        <w:t xml:space="preserve"> and every </w:t>
      </w:r>
      <w:proofErr w:type="spellStart"/>
      <w:r>
        <w:rPr>
          <w:rFonts w:ascii="Arial" w:hAnsi="Arial" w:cs="Arial"/>
          <w:color w:val="444444"/>
          <w:sz w:val="30"/>
          <w:szCs w:val="30"/>
        </w:rPr>
        <w:t>mushrik</w:t>
      </w:r>
      <w:proofErr w:type="spellEnd"/>
      <w:r>
        <w:rPr>
          <w:rFonts w:ascii="Arial" w:hAnsi="Arial" w:cs="Arial"/>
          <w:color w:val="444444"/>
          <w:sz w:val="30"/>
          <w:szCs w:val="30"/>
        </w:rPr>
        <w:t xml:space="preserve"> is a </w:t>
      </w:r>
      <w:proofErr w:type="spellStart"/>
      <w:r>
        <w:rPr>
          <w:rFonts w:ascii="Arial" w:hAnsi="Arial" w:cs="Arial"/>
          <w:color w:val="444444"/>
          <w:sz w:val="30"/>
          <w:szCs w:val="30"/>
        </w:rPr>
        <w:t>kāfir</w:t>
      </w:r>
      <w:proofErr w:type="spellEnd"/>
      <w:r>
        <w:rPr>
          <w:rFonts w:ascii="Arial" w:hAnsi="Arial" w:cs="Arial"/>
          <w:color w:val="444444"/>
          <w:sz w:val="30"/>
          <w:szCs w:val="30"/>
        </w:rPr>
        <w:t>; there is absolutely no difference between the two words…</w:t>
      </w:r>
      <w:r>
        <w:rPr>
          <w:rFonts w:ascii="Arial" w:hAnsi="Arial" w:cs="Arial"/>
          <w:color w:val="444444"/>
          <w:sz w:val="30"/>
          <w:szCs w:val="30"/>
        </w:rPr>
        <w:br/>
        <w:t xml:space="preserve">Whoever disbelieves has associated partners with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and whoever associates partners with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has disbelieved; there is no confusion about that. The evidence for this is if we remember the conversation of the believer and the disbeliever in </w:t>
      </w:r>
      <w:proofErr w:type="spellStart"/>
      <w:r>
        <w:rPr>
          <w:rFonts w:ascii="Arial" w:hAnsi="Arial" w:cs="Arial"/>
          <w:color w:val="444444"/>
          <w:sz w:val="30"/>
          <w:szCs w:val="30"/>
        </w:rPr>
        <w:t>Sūrat</w:t>
      </w:r>
      <w:proofErr w:type="spellEnd"/>
      <w:r>
        <w:rPr>
          <w:rFonts w:ascii="Arial" w:hAnsi="Arial" w:cs="Arial"/>
          <w:color w:val="444444"/>
          <w:sz w:val="30"/>
          <w:szCs w:val="30"/>
        </w:rPr>
        <w:t xml:space="preserve"> </w:t>
      </w:r>
      <w:proofErr w:type="spellStart"/>
      <w:r>
        <w:rPr>
          <w:rFonts w:ascii="Arial" w:hAnsi="Arial" w:cs="Arial"/>
          <w:color w:val="444444"/>
          <w:sz w:val="30"/>
          <w:szCs w:val="30"/>
        </w:rPr>
        <w:t>ul-Kahf</w:t>
      </w:r>
      <w:proofErr w:type="spellEnd"/>
      <w:r>
        <w:rPr>
          <w:rFonts w:ascii="Arial" w:hAnsi="Arial" w:cs="Arial"/>
          <w:color w:val="444444"/>
          <w:sz w:val="30"/>
          <w:szCs w:val="30"/>
        </w:rPr>
        <w:t xml:space="preserve">: {And put forward to them the example of two men: unto one of them We had given two gardens of grapes, and We had surrounded both with date-palms; and had put between them green crops (cultivated fields) / Each of those two gardens brought forth its produce, and failed not in the least therein, and We caused a river to gush forth in the midst of them / And he had property (or fruit) and he said to his companion, in the course of mutual talk: ‘I am more than you </w:t>
      </w:r>
      <w:r>
        <w:rPr>
          <w:rFonts w:ascii="Arial" w:hAnsi="Arial" w:cs="Arial"/>
          <w:color w:val="444444"/>
          <w:sz w:val="30"/>
          <w:szCs w:val="30"/>
        </w:rPr>
        <w:lastRenderedPageBreak/>
        <w:t xml:space="preserve">in wealth and stronger in respect of men’}[1] – pay attention now – {And he went into his garden while in a state (of pride and disbelief) unjust to himself. He said: ‘I think not that this will ever perish / And I think not the Hour will ever come-}.[2] According to your wrong understanding, this (man) has disbelieved but not associated partners with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and he (only) denied the Resurrection. He (then) said: {-and if indeed I am brought back to my Lord, (on the Day of Resurrection), I surely shall find better than this when I return to Him’ / His companion said to him during the talk with him:-}[3] {-‘If you see me less than you in wealth, and children, / It may be that my Lord will give me something better than your garden, and will send on it </w:t>
      </w:r>
      <w:proofErr w:type="spellStart"/>
      <w:r>
        <w:rPr>
          <w:rFonts w:ascii="Arial" w:hAnsi="Arial" w:cs="Arial"/>
          <w:color w:val="444444"/>
          <w:sz w:val="30"/>
          <w:szCs w:val="30"/>
        </w:rPr>
        <w:t>Husbān</w:t>
      </w:r>
      <w:proofErr w:type="spellEnd"/>
      <w:r>
        <w:rPr>
          <w:rFonts w:ascii="Arial" w:hAnsi="Arial" w:cs="Arial"/>
          <w:color w:val="444444"/>
          <w:sz w:val="30"/>
          <w:szCs w:val="30"/>
        </w:rPr>
        <w:t xml:space="preserve"> (torment, bolt) from the sky, then it will be a barren slippery earth / Or the water thereof (of the gardens) becomes deep-sunken (underground) so that you will never be able to seek it’ / So his fruits were encircled (with ruin). And he remained clapping his hands (with sorrow) over what he had spent upon it, while it was all destroyed on its trellises, and he could only say: ‘Would that I had ascribed no partners to my Lord!’}[4] Therefore, when he denied the Resurrection, he associated partners with </w:t>
      </w:r>
      <w:proofErr w:type="spellStart"/>
      <w:r>
        <w:rPr>
          <w:rFonts w:ascii="Arial" w:hAnsi="Arial" w:cs="Arial"/>
          <w:color w:val="444444"/>
          <w:sz w:val="30"/>
          <w:szCs w:val="30"/>
        </w:rPr>
        <w:t>Allāh</w:t>
      </w:r>
      <w:proofErr w:type="spellEnd"/>
      <w:r>
        <w:rPr>
          <w:rFonts w:ascii="Arial" w:hAnsi="Arial" w:cs="Arial"/>
          <w:color w:val="444444"/>
          <w:sz w:val="30"/>
          <w:szCs w:val="30"/>
        </w:rPr>
        <w:t>. So whoever disbelieves in something that has come in the Book (</w:t>
      </w:r>
      <w:proofErr w:type="spellStart"/>
      <w:r>
        <w:rPr>
          <w:rFonts w:ascii="Arial" w:hAnsi="Arial" w:cs="Arial"/>
          <w:color w:val="444444"/>
          <w:sz w:val="30"/>
          <w:szCs w:val="30"/>
        </w:rPr>
        <w:t>Qur’ān</w:t>
      </w:r>
      <w:proofErr w:type="spellEnd"/>
      <w:r>
        <w:rPr>
          <w:rFonts w:ascii="Arial" w:hAnsi="Arial" w:cs="Arial"/>
          <w:color w:val="444444"/>
          <w:sz w:val="30"/>
          <w:szCs w:val="30"/>
        </w:rPr>
        <w:t xml:space="preserve">) or the </w:t>
      </w:r>
      <w:proofErr w:type="spellStart"/>
      <w:r>
        <w:rPr>
          <w:rFonts w:ascii="Arial" w:hAnsi="Arial" w:cs="Arial"/>
          <w:color w:val="444444"/>
          <w:sz w:val="30"/>
          <w:szCs w:val="30"/>
        </w:rPr>
        <w:t>Sunnah</w:t>
      </w:r>
      <w:proofErr w:type="spellEnd"/>
      <w:r>
        <w:rPr>
          <w:rFonts w:ascii="Arial" w:hAnsi="Arial" w:cs="Arial"/>
          <w:color w:val="444444"/>
          <w:sz w:val="30"/>
          <w:szCs w:val="30"/>
        </w:rPr>
        <w:t xml:space="preserve">, then he is (also) a </w:t>
      </w:r>
      <w:proofErr w:type="spellStart"/>
      <w:r>
        <w:rPr>
          <w:rFonts w:ascii="Arial" w:hAnsi="Arial" w:cs="Arial"/>
          <w:color w:val="444444"/>
          <w:sz w:val="30"/>
          <w:szCs w:val="30"/>
        </w:rPr>
        <w:t>mushrik</w:t>
      </w:r>
      <w:proofErr w:type="spellEnd"/>
      <w:r>
        <w:rPr>
          <w:rFonts w:ascii="Arial" w:hAnsi="Arial" w:cs="Arial"/>
          <w:color w:val="444444"/>
          <w:sz w:val="30"/>
          <w:szCs w:val="30"/>
        </w:rPr>
        <w:t xml:space="preserve"> during his state of disbelief; this is with respect to the </w:t>
      </w:r>
      <w:proofErr w:type="spellStart"/>
      <w:r>
        <w:rPr>
          <w:rFonts w:ascii="Arial" w:hAnsi="Arial" w:cs="Arial"/>
          <w:color w:val="444444"/>
          <w:sz w:val="30"/>
          <w:szCs w:val="30"/>
        </w:rPr>
        <w:t>Qur’ānic</w:t>
      </w:r>
      <w:proofErr w:type="spellEnd"/>
      <w:r>
        <w:rPr>
          <w:rFonts w:ascii="Arial" w:hAnsi="Arial" w:cs="Arial"/>
          <w:color w:val="444444"/>
          <w:sz w:val="30"/>
          <w:szCs w:val="30"/>
        </w:rPr>
        <w:t xml:space="preserve"> text. So what is the intellectual reason (for this)? The answer is that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the </w:t>
      </w:r>
      <w:proofErr w:type="gramStart"/>
      <w:r>
        <w:rPr>
          <w:rFonts w:ascii="Arial" w:hAnsi="Arial" w:cs="Arial"/>
          <w:color w:val="444444"/>
          <w:sz w:val="30"/>
          <w:szCs w:val="30"/>
        </w:rPr>
        <w:t>Most High</w:t>
      </w:r>
      <w:proofErr w:type="gramEnd"/>
      <w:r>
        <w:rPr>
          <w:rFonts w:ascii="Arial" w:hAnsi="Arial" w:cs="Arial"/>
          <w:color w:val="444444"/>
          <w:sz w:val="30"/>
          <w:szCs w:val="30"/>
        </w:rPr>
        <w:t xml:space="preserve">, said: {Have you seen him who takes his own lust (vain desires) as his </w:t>
      </w:r>
      <w:proofErr w:type="spellStart"/>
      <w:r>
        <w:rPr>
          <w:rFonts w:ascii="Arial" w:hAnsi="Arial" w:cs="Arial"/>
          <w:color w:val="444444"/>
          <w:sz w:val="30"/>
          <w:szCs w:val="30"/>
        </w:rPr>
        <w:t>ilāh</w:t>
      </w:r>
      <w:proofErr w:type="spellEnd"/>
      <w:r>
        <w:rPr>
          <w:rFonts w:ascii="Arial" w:hAnsi="Arial" w:cs="Arial"/>
          <w:color w:val="444444"/>
          <w:sz w:val="30"/>
          <w:szCs w:val="30"/>
        </w:rPr>
        <w:t xml:space="preserve"> (god)?} Therefore, whoever disbelieves with any type of disbelief is (also) a </w:t>
      </w:r>
      <w:proofErr w:type="spellStart"/>
      <w:r>
        <w:rPr>
          <w:rFonts w:ascii="Arial" w:hAnsi="Arial" w:cs="Arial"/>
          <w:color w:val="444444"/>
          <w:sz w:val="30"/>
          <w:szCs w:val="30"/>
        </w:rPr>
        <w:t>mushrik</w:t>
      </w:r>
      <w:proofErr w:type="spellEnd"/>
      <w:r>
        <w:rPr>
          <w:rFonts w:ascii="Arial" w:hAnsi="Arial" w:cs="Arial"/>
          <w:color w:val="444444"/>
          <w:sz w:val="30"/>
          <w:szCs w:val="30"/>
        </w:rPr>
        <w:t xml:space="preserve">, because he himself made his logic to be a partner with His Lord, the Blessed and Most High. Thus, do not differentiate between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(disbelief) and shirk (associating partners with </w:t>
      </w:r>
      <w:proofErr w:type="spellStart"/>
      <w:r>
        <w:rPr>
          <w:rFonts w:ascii="Arial" w:hAnsi="Arial" w:cs="Arial"/>
          <w:color w:val="444444"/>
          <w:sz w:val="30"/>
          <w:szCs w:val="30"/>
        </w:rPr>
        <w:t>Allāh</w:t>
      </w:r>
      <w:proofErr w:type="spellEnd"/>
      <w:r>
        <w:rPr>
          <w:rFonts w:ascii="Arial" w:hAnsi="Arial" w:cs="Arial"/>
          <w:color w:val="444444"/>
          <w:sz w:val="30"/>
          <w:szCs w:val="30"/>
        </w:rPr>
        <w:t>)…</w:t>
      </w:r>
      <w:r>
        <w:rPr>
          <w:rFonts w:ascii="Arial" w:hAnsi="Arial" w:cs="Arial"/>
          <w:color w:val="444444"/>
          <w:sz w:val="30"/>
          <w:szCs w:val="30"/>
        </w:rPr>
        <w:br/>
      </w:r>
      <w:r>
        <w:rPr>
          <w:rFonts w:ascii="Arial" w:hAnsi="Arial" w:cs="Arial"/>
          <w:color w:val="444444"/>
          <w:sz w:val="30"/>
          <w:szCs w:val="30"/>
        </w:rPr>
        <w:lastRenderedPageBreak/>
        <w:t xml:space="preserve">Likewise, another </w:t>
      </w:r>
      <w:proofErr w:type="spellStart"/>
      <w:r>
        <w:rPr>
          <w:rFonts w:ascii="Arial" w:hAnsi="Arial" w:cs="Arial"/>
          <w:color w:val="444444"/>
          <w:sz w:val="30"/>
          <w:szCs w:val="30"/>
        </w:rPr>
        <w:t>hadīth</w:t>
      </w:r>
      <w:proofErr w:type="spellEnd"/>
      <w:r>
        <w:rPr>
          <w:rFonts w:ascii="Arial" w:hAnsi="Arial" w:cs="Arial"/>
          <w:color w:val="444444"/>
          <w:sz w:val="30"/>
          <w:szCs w:val="30"/>
        </w:rPr>
        <w:t xml:space="preserve"> (mentions): ‘Whoever swears by other than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has disbelieved’ and ‘whoever swears by other than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has associated partners with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.’[5] He has committed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he has committed shirk. He has committed shirk, he has committed </w:t>
      </w:r>
      <w:proofErr w:type="spellStart"/>
      <w:r>
        <w:rPr>
          <w:rFonts w:ascii="Arial" w:hAnsi="Arial" w:cs="Arial"/>
          <w:color w:val="444444"/>
          <w:sz w:val="30"/>
          <w:szCs w:val="30"/>
        </w:rPr>
        <w:t>kufr</w:t>
      </w:r>
      <w:proofErr w:type="spellEnd"/>
      <w:r>
        <w:rPr>
          <w:rFonts w:ascii="Arial" w:hAnsi="Arial" w:cs="Arial"/>
          <w:color w:val="444444"/>
          <w:sz w:val="30"/>
          <w:szCs w:val="30"/>
        </w:rPr>
        <w:t xml:space="preserve">. There is no difference between the two words with regard to terminology in the Islamic legislation. With regard to linguistic terminology, there is a difference no doubt, but the Islamic legislation opens our insight, thinking and understanding. Why is everyone who disbelieves in </w:t>
      </w:r>
      <w:proofErr w:type="spellStart"/>
      <w:r>
        <w:rPr>
          <w:rFonts w:ascii="Arial" w:hAnsi="Arial" w:cs="Arial"/>
          <w:color w:val="444444"/>
          <w:sz w:val="30"/>
          <w:szCs w:val="30"/>
        </w:rPr>
        <w:t>Allāh</w:t>
      </w:r>
      <w:proofErr w:type="spellEnd"/>
      <w:r>
        <w:rPr>
          <w:rFonts w:ascii="Arial" w:hAnsi="Arial" w:cs="Arial"/>
          <w:color w:val="444444"/>
          <w:sz w:val="30"/>
          <w:szCs w:val="30"/>
        </w:rPr>
        <w:t xml:space="preserve">, the Might and Majestic, with any type of disbelief (also) a </w:t>
      </w:r>
      <w:proofErr w:type="spellStart"/>
      <w:r>
        <w:rPr>
          <w:rFonts w:ascii="Arial" w:hAnsi="Arial" w:cs="Arial"/>
          <w:color w:val="444444"/>
          <w:sz w:val="30"/>
          <w:szCs w:val="30"/>
        </w:rPr>
        <w:t>mushrik</w:t>
      </w:r>
      <w:proofErr w:type="spellEnd"/>
      <w:r>
        <w:rPr>
          <w:rFonts w:ascii="Arial" w:hAnsi="Arial" w:cs="Arial"/>
          <w:color w:val="444444"/>
          <w:sz w:val="30"/>
          <w:szCs w:val="30"/>
        </w:rPr>
        <w:t xml:space="preserve">? </w:t>
      </w:r>
      <w:proofErr w:type="gramStart"/>
      <w:r>
        <w:rPr>
          <w:rFonts w:ascii="Arial" w:hAnsi="Arial" w:cs="Arial"/>
          <w:color w:val="444444"/>
          <w:sz w:val="30"/>
          <w:szCs w:val="30"/>
        </w:rPr>
        <w:t>Because he has made his logic to be a partner with His Lord, the Mighty and Majestic.”</w:t>
      </w:r>
      <w:proofErr w:type="gramEnd"/>
    </w:p>
    <w:p w:rsidR="000F4733" w:rsidRDefault="000F4733" w:rsidP="000F4733">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 </w:t>
      </w:r>
      <w:proofErr w:type="spellStart"/>
      <w:proofErr w:type="gramStart"/>
      <w:r>
        <w:rPr>
          <w:rFonts w:ascii="Arial" w:hAnsi="Arial" w:cs="Arial"/>
          <w:color w:val="444444"/>
          <w:sz w:val="30"/>
          <w:szCs w:val="30"/>
        </w:rPr>
        <w:t>asaheeha</w:t>
      </w:r>
      <w:proofErr w:type="spellEnd"/>
      <w:proofErr w:type="gramEnd"/>
      <w:r>
        <w:rPr>
          <w:rFonts w:ascii="Arial" w:hAnsi="Arial" w:cs="Arial"/>
          <w:color w:val="444444"/>
          <w:sz w:val="30"/>
          <w:szCs w:val="30"/>
        </w:rPr>
        <w:t xml:space="preserve"> translations ~</w:t>
      </w:r>
    </w:p>
    <w:p w:rsidR="000F4733" w:rsidRPr="000F4733" w:rsidRDefault="000F4733" w:rsidP="000F4733">
      <w:pPr>
        <w:pStyle w:val="Heading1"/>
        <w:shd w:val="clear" w:color="auto" w:fill="F9F9F9"/>
        <w:spacing w:before="0" w:beforeAutospacing="0" w:after="167" w:afterAutospacing="0" w:line="342" w:lineRule="atLeast"/>
        <w:jc w:val="both"/>
        <w:textAlignment w:val="baseline"/>
        <w:rPr>
          <w:rFonts w:ascii="Trebuchet MS" w:hAnsi="Trebuchet MS"/>
          <w:color w:val="2F2F2F"/>
          <w:sz w:val="34"/>
          <w:szCs w:val="34"/>
        </w:rPr>
      </w:pPr>
      <w:r>
        <w:rPr>
          <w:rFonts w:ascii="Arial" w:hAnsi="Arial" w:cs="Arial"/>
          <w:color w:val="5E6066"/>
          <w:sz w:val="20"/>
          <w:szCs w:val="20"/>
          <w:shd w:val="clear" w:color="auto" w:fill="FFFFFF"/>
        </w:rPr>
        <w:t xml:space="preserve">[1] </w:t>
      </w:r>
      <w:proofErr w:type="spellStart"/>
      <w:r>
        <w:rPr>
          <w:rFonts w:ascii="Arial" w:hAnsi="Arial" w:cs="Arial"/>
          <w:color w:val="5E6066"/>
          <w:sz w:val="20"/>
          <w:szCs w:val="20"/>
          <w:shd w:val="clear" w:color="auto" w:fill="FFFFFF"/>
        </w:rPr>
        <w:t>Sūrat</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ul-Kahf</w:t>
      </w:r>
      <w:proofErr w:type="spellEnd"/>
      <w:r>
        <w:rPr>
          <w:rFonts w:ascii="Arial" w:hAnsi="Arial" w:cs="Arial"/>
          <w:color w:val="5E6066"/>
          <w:sz w:val="20"/>
          <w:szCs w:val="20"/>
          <w:shd w:val="clear" w:color="auto" w:fill="FFFFFF"/>
        </w:rPr>
        <w:t>, 18:32-34</w:t>
      </w:r>
      <w:r>
        <w:rPr>
          <w:rFonts w:ascii="Arial" w:hAnsi="Arial" w:cs="Arial"/>
          <w:color w:val="5E6066"/>
          <w:sz w:val="20"/>
          <w:szCs w:val="20"/>
        </w:rPr>
        <w:br/>
      </w:r>
      <w:r>
        <w:rPr>
          <w:rFonts w:ascii="Arial" w:hAnsi="Arial" w:cs="Arial"/>
          <w:color w:val="5E6066"/>
          <w:sz w:val="20"/>
          <w:szCs w:val="20"/>
          <w:shd w:val="clear" w:color="auto" w:fill="FFFFFF"/>
        </w:rPr>
        <w:t xml:space="preserve">[2] </w:t>
      </w:r>
      <w:proofErr w:type="spellStart"/>
      <w:r>
        <w:rPr>
          <w:rFonts w:ascii="Arial" w:hAnsi="Arial" w:cs="Arial"/>
          <w:color w:val="5E6066"/>
          <w:sz w:val="20"/>
          <w:szCs w:val="20"/>
          <w:shd w:val="clear" w:color="auto" w:fill="FFFFFF"/>
        </w:rPr>
        <w:t>Sūrat</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ul-Kahf</w:t>
      </w:r>
      <w:proofErr w:type="spellEnd"/>
      <w:r>
        <w:rPr>
          <w:rFonts w:ascii="Arial" w:hAnsi="Arial" w:cs="Arial"/>
          <w:color w:val="5E6066"/>
          <w:sz w:val="20"/>
          <w:szCs w:val="20"/>
          <w:shd w:val="clear" w:color="auto" w:fill="FFFFFF"/>
        </w:rPr>
        <w:t>, 18:35-36</w:t>
      </w:r>
      <w:r>
        <w:rPr>
          <w:rFonts w:ascii="Arial" w:hAnsi="Arial" w:cs="Arial"/>
          <w:color w:val="5E6066"/>
          <w:sz w:val="20"/>
          <w:szCs w:val="20"/>
        </w:rPr>
        <w:br/>
      </w:r>
      <w:r>
        <w:rPr>
          <w:rFonts w:ascii="Arial" w:hAnsi="Arial" w:cs="Arial"/>
          <w:color w:val="5E6066"/>
          <w:sz w:val="20"/>
          <w:szCs w:val="20"/>
          <w:shd w:val="clear" w:color="auto" w:fill="FFFFFF"/>
        </w:rPr>
        <w:t xml:space="preserve">[3] </w:t>
      </w:r>
      <w:proofErr w:type="spellStart"/>
      <w:r>
        <w:rPr>
          <w:rFonts w:ascii="Arial" w:hAnsi="Arial" w:cs="Arial"/>
          <w:color w:val="5E6066"/>
          <w:sz w:val="20"/>
          <w:szCs w:val="20"/>
          <w:shd w:val="clear" w:color="auto" w:fill="FFFFFF"/>
        </w:rPr>
        <w:t>Sūrat</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ul-Kahf</w:t>
      </w:r>
      <w:proofErr w:type="spellEnd"/>
      <w:r>
        <w:rPr>
          <w:rFonts w:ascii="Arial" w:hAnsi="Arial" w:cs="Arial"/>
          <w:color w:val="5E6066"/>
          <w:sz w:val="20"/>
          <w:szCs w:val="20"/>
          <w:shd w:val="clear" w:color="auto" w:fill="FFFFFF"/>
        </w:rPr>
        <w:t>, 18:36-37</w:t>
      </w:r>
      <w:r>
        <w:rPr>
          <w:rFonts w:ascii="Arial" w:hAnsi="Arial" w:cs="Arial"/>
          <w:color w:val="5E6066"/>
          <w:sz w:val="20"/>
          <w:szCs w:val="20"/>
        </w:rPr>
        <w:br/>
      </w:r>
      <w:r>
        <w:rPr>
          <w:rFonts w:ascii="Arial" w:hAnsi="Arial" w:cs="Arial"/>
          <w:color w:val="5E6066"/>
          <w:sz w:val="20"/>
          <w:szCs w:val="20"/>
          <w:shd w:val="clear" w:color="auto" w:fill="FFFFFF"/>
        </w:rPr>
        <w:t xml:space="preserve">[4] </w:t>
      </w:r>
      <w:proofErr w:type="spellStart"/>
      <w:r>
        <w:rPr>
          <w:rFonts w:ascii="Arial" w:hAnsi="Arial" w:cs="Arial"/>
          <w:color w:val="5E6066"/>
          <w:sz w:val="20"/>
          <w:szCs w:val="20"/>
          <w:shd w:val="clear" w:color="auto" w:fill="FFFFFF"/>
        </w:rPr>
        <w:t>Sūrat</w:t>
      </w:r>
      <w:proofErr w:type="spellEnd"/>
      <w:r>
        <w:rPr>
          <w:rFonts w:ascii="Arial" w:hAnsi="Arial" w:cs="Arial"/>
          <w:color w:val="5E6066"/>
          <w:sz w:val="20"/>
          <w:szCs w:val="20"/>
          <w:shd w:val="clear" w:color="auto" w:fill="FFFFFF"/>
        </w:rPr>
        <w:t xml:space="preserve"> </w:t>
      </w:r>
      <w:proofErr w:type="spellStart"/>
      <w:r>
        <w:rPr>
          <w:rFonts w:ascii="Arial" w:hAnsi="Arial" w:cs="Arial"/>
          <w:color w:val="5E6066"/>
          <w:sz w:val="20"/>
          <w:szCs w:val="20"/>
          <w:shd w:val="clear" w:color="auto" w:fill="FFFFFF"/>
        </w:rPr>
        <w:t>ul-Kahf</w:t>
      </w:r>
      <w:proofErr w:type="spellEnd"/>
      <w:r>
        <w:rPr>
          <w:rFonts w:ascii="Arial" w:hAnsi="Arial" w:cs="Arial"/>
          <w:color w:val="5E6066"/>
          <w:sz w:val="20"/>
          <w:szCs w:val="20"/>
          <w:shd w:val="clear" w:color="auto" w:fill="FFFFFF"/>
        </w:rPr>
        <w:t>, 18:39-42</w:t>
      </w:r>
      <w:r>
        <w:rPr>
          <w:rFonts w:ascii="Arial" w:hAnsi="Arial" w:cs="Arial"/>
          <w:color w:val="5E6066"/>
          <w:sz w:val="20"/>
          <w:szCs w:val="20"/>
        </w:rPr>
        <w:br/>
      </w:r>
      <w:r>
        <w:rPr>
          <w:rFonts w:ascii="Arial" w:hAnsi="Arial" w:cs="Arial"/>
          <w:color w:val="5E6066"/>
          <w:sz w:val="20"/>
          <w:szCs w:val="20"/>
          <w:shd w:val="clear" w:color="auto" w:fill="FFFFFF"/>
        </w:rPr>
        <w:t xml:space="preserve">[5] </w:t>
      </w:r>
      <w:proofErr w:type="spellStart"/>
      <w:r>
        <w:rPr>
          <w:rFonts w:ascii="Arial" w:hAnsi="Arial" w:cs="Arial"/>
          <w:color w:val="5E6066"/>
          <w:sz w:val="20"/>
          <w:szCs w:val="20"/>
          <w:shd w:val="clear" w:color="auto" w:fill="FFFFFF"/>
        </w:rPr>
        <w:t>Sahīh</w:t>
      </w:r>
      <w:proofErr w:type="spellEnd"/>
      <w:r>
        <w:rPr>
          <w:rFonts w:ascii="Arial" w:hAnsi="Arial" w:cs="Arial"/>
          <w:color w:val="5E6066"/>
          <w:sz w:val="20"/>
          <w:szCs w:val="20"/>
          <w:shd w:val="clear" w:color="auto" w:fill="FFFFFF"/>
        </w:rPr>
        <w:t xml:space="preserve"> at-</w:t>
      </w:r>
      <w:proofErr w:type="spellStart"/>
      <w:r>
        <w:rPr>
          <w:rFonts w:ascii="Arial" w:hAnsi="Arial" w:cs="Arial"/>
          <w:color w:val="5E6066"/>
          <w:sz w:val="20"/>
          <w:szCs w:val="20"/>
          <w:shd w:val="clear" w:color="auto" w:fill="FFFFFF"/>
        </w:rPr>
        <w:t>Tirmithī</w:t>
      </w:r>
      <w:proofErr w:type="spellEnd"/>
      <w:r>
        <w:rPr>
          <w:rFonts w:ascii="Arial" w:hAnsi="Arial" w:cs="Arial"/>
          <w:color w:val="5E6066"/>
          <w:sz w:val="20"/>
          <w:szCs w:val="20"/>
          <w:shd w:val="clear" w:color="auto" w:fill="FFFFFF"/>
        </w:rPr>
        <w:t xml:space="preserve"> #1535</w:t>
      </w:r>
    </w:p>
    <w:p w:rsidR="004437F3" w:rsidRPr="000F4733" w:rsidRDefault="004437F3" w:rsidP="000F4733">
      <w:pPr>
        <w:rPr>
          <w:rFonts w:hint="cs"/>
          <w:rtl/>
          <w:lang w:bidi="ar-EG"/>
        </w:rPr>
      </w:pPr>
    </w:p>
    <w:sectPr w:rsidR="004437F3" w:rsidRPr="000F473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F4733"/>
    <w:rsid w:val="0012644C"/>
    <w:rsid w:val="0017421B"/>
    <w:rsid w:val="002403E8"/>
    <w:rsid w:val="002E30E1"/>
    <w:rsid w:val="00382BC2"/>
    <w:rsid w:val="004437F3"/>
    <w:rsid w:val="004B7A40"/>
    <w:rsid w:val="004F6355"/>
    <w:rsid w:val="00583869"/>
    <w:rsid w:val="00700BAE"/>
    <w:rsid w:val="00754100"/>
    <w:rsid w:val="00792420"/>
    <w:rsid w:val="008B5296"/>
    <w:rsid w:val="00A12903"/>
    <w:rsid w:val="00A47F33"/>
    <w:rsid w:val="00AB3957"/>
    <w:rsid w:val="00AF1ED1"/>
    <w:rsid w:val="00DA6A52"/>
    <w:rsid w:val="00DB4484"/>
    <w:rsid w:val="00E104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2015-01-02T13:55:00Z</cp:lastPrinted>
  <dcterms:created xsi:type="dcterms:W3CDTF">2015-01-02T13:57:00Z</dcterms:created>
  <dcterms:modified xsi:type="dcterms:W3CDTF">2015-01-02T13:57:00Z</dcterms:modified>
</cp:coreProperties>
</file>